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8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8"/>
        <w:gridCol w:w="2240"/>
        <w:gridCol w:w="2241"/>
        <w:gridCol w:w="2240"/>
        <w:gridCol w:w="2239"/>
        <w:gridCol w:w="2268"/>
        <w:gridCol w:w="2410"/>
      </w:tblGrid>
      <w:tr>
        <w:trPr>
          <w:trHeight w:val="552" w:hRule="atLeast"/>
        </w:trPr>
        <w:tc>
          <w:tcPr>
            <w:tcW w:w="15876" w:type="dxa"/>
            <w:gridSpan w:val="7"/>
            <w:tcBorders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ФОРМИРОВАНИЕ ПРЕДПОСЫЛОК ФУНКЦИОНАЛЬНОЙ ГРАМОТНОСТИ В СООТВЕТСВИИ С ФОП ДО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группе раннего возраста (от 2 до 3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группе младшего возраста (3-4 года)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группе среднего возраста (4-5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группе старшего возраста (5-6 лет)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 в подготовительной к школе группе (6-7 лет)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ФГОС ДО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Формирование предпосылок естественно-научной грамотности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Р</w:t>
            </w:r>
            <w:r>
              <w:rPr>
                <w:sz w:val="18"/>
                <w:szCs w:val="18"/>
              </w:rPr>
              <w:t>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sz w:val="18"/>
                <w:szCs w:val="18"/>
              </w:rPr>
              <w:t>ребенок способен к осуществлению социальной навигации и соблюдению правил безопасности в реальном и цифровом взаимодействии;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26)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27)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Методы и формы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>
        <w:trPr>
          <w:trHeight w:val="1243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деятельность,  игровые ситуации,  беседа, наблюдение, развлечение, ситуативный разговор, элементарное экспериментирование, просмотр альбомов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деятельность,  игровые ситуации,  беседа, наблюдение, развлечение, ситуативный разговор, элементарное экспериментирование, просмотр альбомов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деятельность,  игровые ситуации,  беседа, наблюдение, развлечение, ситуативный разговор, элементарное экспериментирование, просмотр альбомов, проектная деятельность, проблемные ситуации,  исследование (элементарное), экскурсия  в пределах ДОО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деятельность,  игровые ситуации,  беседа, наблюдение, развлечение, ситуативный разговор, элементарное экспериментирование, просмотр альбомов, проектная деятельность, проблемные ситуации,  исследование (элементарное), экскурсия  в пределах ДОО, квест, просмотр видео, викторина,  экскурсия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Занятие, образовательная ситуация, игровая ситуация, проблемно-обучающая ситуация,  тематическое событие, проект, квест, беседа,  наблюдение, экскурсия, мастерская, развлечение, ситуативный разговор, викторина, экспериментирование, исследование, просмотр (альбомов, книг, видео)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10. </w:t>
            </w:r>
            <w:r>
              <w:rPr>
                <w:sz w:val="20"/>
                <w:szCs w:val="20"/>
              </w:rP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ребёнок совместно со взрослым пересказывает знакомые сказки, короткие стихи;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16) 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17) ребёнок знает об объектах ближайшего окружения: о родном населенном пункте, его названии, достопримечательностях и традициях;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18) 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>
        <w:trPr>
          <w:trHeight w:val="1335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исследовательская, игровые, ТРИЗ, «Ситуация», технология педагогической поддержки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исследовательская, игровые, ТРИЗ, «Ситуация», </w:t>
            </w:r>
            <w:r>
              <w:rPr>
                <w:sz w:val="20"/>
                <w:szCs w:val="20"/>
              </w:rPr>
              <w:t>социо-игровая, технология педагогической поддержки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исследовательская, игровые, ТРИЗ, «Ситуация», Проектная деятельность, социо-игровая, технология педагогической поддержки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исследовательская, игровые, ТРИЗ, «Ситуация», ИКТ, социо-игровая, клубный час, технология развития социальных навыков, технологии развития саморегуляции (создание центров активности и условий для осознанного, ответственного выбора и т.д.);технология командной работы воспитанников;    • технология проектирования индивидуальных образовательных маршрутов;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• </w:t>
            </w:r>
            <w:r>
              <w:rPr>
                <w:sz w:val="20"/>
                <w:szCs w:val="20"/>
              </w:rPr>
              <w:t>технологии взаимного обучения;технология педагогической поддержки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исследовательская, игровые, ТРИЗ, «Ситуация», ИКТ, социо-игровая, клубный час, технология развития социальных навыков, технологии развития саморегуляции (создание центров активности и условий для осознанного, ответственного выбора и т.д.);технология командной работы воспитанников;    • 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ехнология проектирования индивидуальных образовательных маршрутов;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• </w:t>
            </w:r>
            <w:r>
              <w:rPr>
                <w:sz w:val="20"/>
                <w:szCs w:val="20"/>
              </w:rPr>
              <w:t xml:space="preserve">технологии взаимного обучения; технология педагогической поддержки,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16) ребёнок способен рассказать о предмете, его назначении и особенностях, о том, как он был создан;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17)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18)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19)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21)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</w:p>
        </w:tc>
      </w:tr>
      <w:tr>
        <w:trPr>
          <w:trHeight w:val="1329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2.3.2.2.21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2.3.2.2.27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2.3.2.2.44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2.3.2.2.56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2.3.2.2.59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2.3.2.2.60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2.3.2.2.79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2.3.2.2.80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2.3.2.2.81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2.3.2.2.90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2.3.2.2.93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2.3.2.2.98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2.3.2.2.99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2.3.2.2.108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2.3.2.2.136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2.3.2.2.139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.2.2.</w:t>
            </w:r>
            <w:r>
              <w:rPr>
                <w:sz w:val="20"/>
                <w:szCs w:val="20"/>
              </w:rPr>
              <w:t>14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2.4.2.2.37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2.4.2.2.38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2.4.2.2.47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2.4.2.2.48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2.4.2.2.51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2.4.2.2.52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2.4.2.2.69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2.4.2.2.70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2.4.2.2.71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2.4.2.2.72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2.4.2.2.82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2.4.2.2.92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2.4.2.2.104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2.4.2.2.111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2.4.2.2.127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2.4.2.2.134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2.4.2.2.140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2.4.2.2.160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.2.2.1</w:t>
            </w:r>
            <w:r>
              <w:rPr>
                <w:sz w:val="20"/>
                <w:szCs w:val="20"/>
              </w:rPr>
              <w:t>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2.5.2.2.26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2.5.2.2.32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2.5.2.2.33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2.5.2.2.34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2.5.2.2.38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2.5.2.2.114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2.5.2.2.135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2.5.2.2.146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2.5.2.2.147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2.2.1</w:t>
            </w:r>
            <w:r>
              <w:rPr>
                <w:sz w:val="20"/>
                <w:szCs w:val="20"/>
              </w:rPr>
              <w:t>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2.6.2.2.14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2.6.2.2.15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2.6.2.2.16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2.6.2.2.18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2.6.2.2.24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2.6.2.2.26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>
              <w:rPr>
                <w:sz w:val="20"/>
                <w:szCs w:val="20"/>
              </w:rPr>
      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>
              <w:rPr>
                <w:sz w:val="20"/>
                <w:szCs w:val="20"/>
              </w:rPr>
      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23)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24)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31)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32)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709"/>
      <w:jc w:val="both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323d7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LibreOffice/6.4.6.2$Linux_X86_64 LibreOffice_project/40$Build-2</Application>
  <Pages>8</Pages>
  <Words>1371</Words>
  <Characters>10575</Characters>
  <CharactersWithSpaces>11868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2023-03-25T07:49:00Z</dcterms:created>
  <dc:creator>Oxana Chechulina</dc:creator>
  <dc:description/>
  <dc:language>ru-RU</dc:language>
  <cp:lastModifiedBy/>
  <dcterms:modified xsi:type="dcterms:W3CDTF">2023-03-30T15:18:39Z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